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59669"/>
          <w:spacing w:val="30"/>
          <w:sz w:val="15"/>
          <w:szCs w:val="15"/>
        </w:rPr>
        <w:t xml:space="preserve">CAJA DE HERRAMIENTAS STEM INTERCULTURAL</w:t>
      </w:r>
    </w:p>
    <w:p>
      <w:pPr>
        <w:pBdr>
          <w:bottom w:val="single" w:color="059669" w:sz="14" w:space="6"/>
        </w:pBdr>
        <w:spacing w:after="160"/>
      </w:pPr>
      <w:r>
        <w:rPr>
          <w:rFonts w:ascii="Calibri" w:cs="Calibri" w:eastAsia="Calibri" w:hAnsi="Calibri"/>
          <w:color w:val="4B5563"/>
          <w:sz w:val="17"/>
          <w:szCs w:val="17"/>
        </w:rPr>
        <w:t xml:space="preserve">Parada 5 · Hamutay · Evaluación y reflexión</w:t>
      </w:r>
    </w:p>
    <w:p>
      <w:pPr>
        <w:spacing w:after="40" w:before="120"/>
      </w:pPr>
      <w:r>
        <w:rPr>
          <w:rFonts w:ascii="Georgia" w:cs="Georgia" w:eastAsia="Georgia" w:hAnsi="Georgia"/>
          <w:b/>
          <w:bCs/>
          <w:color w:val="1E1B4B"/>
          <w:sz w:val="44"/>
          <w:szCs w:val="44"/>
        </w:rPr>
        <w:t xml:space="preserve">Bitácora de reflexión docente</w:t>
      </w:r>
    </w:p>
    <w:p>
      <w:pPr>
        <w:spacing w:after="160"/>
      </w:pPr>
      <w:r>
        <w:rPr>
          <w:rFonts w:ascii="Georgia" w:cs="Georgia" w:eastAsia="Georgia" w:hAnsi="Georgia"/>
          <w:i/>
          <w:iCs/>
          <w:color w:val="059669"/>
          <w:sz w:val="24"/>
          <w:szCs w:val="24"/>
        </w:rPr>
        <w:t xml:space="preserve">El espejo del maestro y la maestra</w:t>
      </w:r>
    </w:p>
    <w:p>
      <w:pPr>
        <w:spacing w:after="24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Antes de cerrar la ruta STEAM, mírate en cuatro espejos. No hay respuestas correctas: hay honestidad. Evaluar es kuti —un retorno que nos deja volver a empezar mejor—. Marca lo que sí lograste y deja lo demás como semilla para la próxima vez.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B45309"/>
          <w:spacing w:val="20"/>
          <w:sz w:val="16"/>
          <w:szCs w:val="16"/>
        </w:rPr>
        <w:t xml:space="preserve">DATOS DE LA EXPERIENCIA</w:t>
      </w:r>
    </w:p>
    <w:tbl>
      <w:tblPr>
        <w:tblW w:type="dxa" w:w="9026"/>
        <w:tblBorders>
          <w:top w:val="single" w:color="D6D0C4" w:sz="4"/>
          <w:left w:val="single" w:color="D6D0C4" w:sz="4"/>
          <w:bottom w:val="single" w:color="D6D0C4" w:sz="4"/>
          <w:right w:val="single" w:color="D6D0C4" w:sz="4"/>
          <w:insideH w:val="single" w:color="D6D0C4" w:sz="4"/>
          <w:insideV w:val="single" w:color="D6D0C4" w:sz="4"/>
        </w:tblBorders>
      </w:tblPr>
      <w:tblGrid>
        <w:gridCol w:w="2526"/>
        <w:gridCol w:w="6500"/>
      </w:tblGrid>
      <w:tr>
        <w:tc>
          <w:tcPr>
            <w:tcW w:type="dxa" w:w="2526"/>
            <w:shd w:fill="F5F0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B4B"/>
                <w:sz w:val="19"/>
                <w:szCs w:val="19"/>
              </w:rPr>
              <w:t xml:space="preserve">Docente</w:t>
            </w:r>
          </w:p>
        </w:tc>
        <w:tc>
          <w:tcPr>
            <w:tcW w:type="dxa" w:w="6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526"/>
            <w:shd w:fill="F5F0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B4B"/>
                <w:sz w:val="19"/>
                <w:szCs w:val="19"/>
              </w:rPr>
              <w:t xml:space="preserve">Institución educativa</w:t>
            </w:r>
          </w:p>
        </w:tc>
        <w:tc>
          <w:tcPr>
            <w:tcW w:type="dxa" w:w="6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526"/>
            <w:shd w:fill="F5F0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B4B"/>
                <w:sz w:val="19"/>
                <w:szCs w:val="19"/>
              </w:rPr>
              <w:t xml:space="preserve">Grado y sección</w:t>
            </w:r>
          </w:p>
        </w:tc>
        <w:tc>
          <w:tcPr>
            <w:tcW w:type="dxa" w:w="6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526"/>
            <w:shd w:fill="F5F0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B4B"/>
                <w:sz w:val="19"/>
                <w:szCs w:val="19"/>
              </w:rPr>
              <w:t xml:space="preserve">Proyecto STEAM</w:t>
            </w:r>
          </w:p>
        </w:tc>
        <w:tc>
          <w:tcPr>
            <w:tcW w:type="dxa" w:w="6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  <w:tr>
        <w:tc>
          <w:tcPr>
            <w:tcW w:type="dxa" w:w="2526"/>
            <w:shd w:fill="F5F0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B4B"/>
                <w:sz w:val="19"/>
                <w:szCs w:val="19"/>
              </w:rPr>
              <w:t xml:space="preserve">Fecha</w:t>
            </w:r>
          </w:p>
        </w:tc>
        <w:tc>
          <w:tcPr>
            <w:tcW w:type="dxa" w:w="6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</w:rPr>
              <w:t xml:space="preserve"/>
            </w:r>
          </w:p>
        </w:tc>
      </w:tr>
    </w:tbl>
    <w:p>
      <w:pPr>
        <w:pBdr>
          <w:bottom w:val="single" w:color="7C3AED" w:sz="10" w:space="4"/>
        </w:pBdr>
        <w:spacing w:after="60" w:before="300"/>
      </w:pPr>
      <w:r>
        <w:rPr>
          <w:rFonts w:ascii="Georgia" w:cs="Georgia" w:eastAsia="Georgia" w:hAnsi="Georgia"/>
          <w:b/>
          <w:bCs/>
          <w:color w:val="7C3AED"/>
          <w:sz w:val="20"/>
          <w:szCs w:val="20"/>
        </w:rPr>
        <w:t xml:space="preserve">01  </w:t>
      </w:r>
      <w:r>
        <w:rPr>
          <w:rFonts w:ascii="Calibri" w:cs="Calibri" w:eastAsia="Calibri" w:hAnsi="Calibri"/>
          <w:b/>
          <w:bCs/>
          <w:color w:val="7C3AED"/>
          <w:spacing w:val="30"/>
          <w:sz w:val="20"/>
          <w:szCs w:val="20"/>
        </w:rPr>
        <w:t xml:space="preserve">INTERCULTURALIDAD</w:t>
      </w:r>
    </w:p>
    <w:p>
      <w:pPr>
        <w:spacing w:after="80" w:before="100"/>
      </w:pPr>
      <w:r>
        <w:rPr>
          <w:rFonts w:ascii="Georgia" w:cs="Georgia" w:eastAsia="Georgia" w:hAnsi="Georgia"/>
          <w:i/>
          <w:iCs/>
          <w:color w:val="1E1B4B"/>
          <w:sz w:val="24"/>
          <w:szCs w:val="24"/>
        </w:rPr>
        <w:t xml:space="preserve">¿El quechua fue valorado como lengua de ciencia?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Los saberes de los yachaq entraron al aula con respeto.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Nombramos fenómenos y herramientas también en quechua.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La cultura andina fue fortaleza, no adorno.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B45309"/>
          <w:spacing w:val="20"/>
          <w:sz w:val="16"/>
          <w:szCs w:val="16"/>
        </w:rPr>
        <w:t xml:space="preserve">NOTAS · EVIDENCIA OBSERVADA</w:t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C2626" w:sz="10" w:space="4"/>
        </w:pBdr>
        <w:spacing w:after="60" w:before="300"/>
      </w:pPr>
      <w:r>
        <w:rPr>
          <w:rFonts w:ascii="Georgia" w:cs="Georgia" w:eastAsia="Georgia" w:hAnsi="Georgia"/>
          <w:b/>
          <w:bCs/>
          <w:color w:val="DC2626"/>
          <w:sz w:val="20"/>
          <w:szCs w:val="20"/>
        </w:rPr>
        <w:t xml:space="preserve">02  </w:t>
      </w:r>
      <w:r>
        <w:rPr>
          <w:rFonts w:ascii="Calibri" w:cs="Calibri" w:eastAsia="Calibri" w:hAnsi="Calibri"/>
          <w:b/>
          <w:bCs/>
          <w:color w:val="DC2626"/>
          <w:spacing w:val="30"/>
          <w:sz w:val="20"/>
          <w:szCs w:val="20"/>
        </w:rPr>
        <w:t xml:space="preserve">GÉNERO</w:t>
      </w:r>
    </w:p>
    <w:p>
      <w:pPr>
        <w:spacing w:after="80" w:before="100"/>
      </w:pPr>
      <w:r>
        <w:rPr>
          <w:rFonts w:ascii="Georgia" w:cs="Georgia" w:eastAsia="Georgia" w:hAnsi="Georgia"/>
          <w:i/>
          <w:iCs/>
          <w:color w:val="1E1B4B"/>
          <w:sz w:val="24"/>
          <w:szCs w:val="24"/>
        </w:rPr>
        <w:t xml:space="preserve">¿Las niñas tomaron el timón, no solo apoyaron?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Las niñas lideraron equipos, no solo tomaron notas.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Usé lenguaje inclusivo (wawakuna) de forma natural.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Intervine cuando alguien las dejaba en segundo plano.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B45309"/>
          <w:spacing w:val="20"/>
          <w:sz w:val="16"/>
          <w:szCs w:val="16"/>
        </w:rPr>
        <w:t xml:space="preserve">NOTAS · EVIDENCIA OBSERVADA</w:t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0D9488" w:sz="10" w:space="4"/>
        </w:pBdr>
        <w:spacing w:after="60" w:before="300"/>
      </w:pPr>
      <w:r>
        <w:rPr>
          <w:rFonts w:ascii="Georgia" w:cs="Georgia" w:eastAsia="Georgia" w:hAnsi="Georgia"/>
          <w:b/>
          <w:bCs/>
          <w:color w:val="0D9488"/>
          <w:sz w:val="20"/>
          <w:szCs w:val="20"/>
        </w:rPr>
        <w:t xml:space="preserve">03  </w:t>
      </w:r>
      <w:r>
        <w:rPr>
          <w:rFonts w:ascii="Calibri" w:cs="Calibri" w:eastAsia="Calibri" w:hAnsi="Calibri"/>
          <w:b/>
          <w:bCs/>
          <w:color w:val="0D9488"/>
          <w:spacing w:val="30"/>
          <w:sz w:val="20"/>
          <w:szCs w:val="20"/>
        </w:rPr>
        <w:t xml:space="preserve">INDAGACIÓN STEAM</w:t>
      </w:r>
    </w:p>
    <w:p>
      <w:pPr>
        <w:spacing w:after="80" w:before="100"/>
      </w:pPr>
      <w:r>
        <w:rPr>
          <w:rFonts w:ascii="Georgia" w:cs="Georgia" w:eastAsia="Georgia" w:hAnsi="Georgia"/>
          <w:i/>
          <w:iCs/>
          <w:color w:val="1E1B4B"/>
          <w:sz w:val="24"/>
          <w:szCs w:val="24"/>
        </w:rPr>
        <w:t xml:space="preserve">¿Investigamos de verdad, o solo seguimos pasos?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El problema salió de la comunidad (ej. las heladas).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Hubo hipótesis, medición y datos, no solo manualidades.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El error se trató como parte de aprender.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B45309"/>
          <w:spacing w:val="20"/>
          <w:sz w:val="16"/>
          <w:szCs w:val="16"/>
        </w:rPr>
        <w:t xml:space="preserve">NOTAS · EVIDENCIA OBSERVADA</w:t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059669" w:sz="10" w:space="4"/>
        </w:pBdr>
        <w:spacing w:after="60" w:before="300"/>
      </w:pPr>
      <w:r>
        <w:rPr>
          <w:rFonts w:ascii="Georgia" w:cs="Georgia" w:eastAsia="Georgia" w:hAnsi="Georgia"/>
          <w:b/>
          <w:bCs/>
          <w:color w:val="059669"/>
          <w:sz w:val="20"/>
          <w:szCs w:val="20"/>
        </w:rPr>
        <w:t xml:space="preserve">04  </w:t>
      </w:r>
      <w:r>
        <w:rPr>
          <w:rFonts w:ascii="Calibri" w:cs="Calibri" w:eastAsia="Calibri" w:hAnsi="Calibri"/>
          <w:b/>
          <w:bCs/>
          <w:color w:val="059669"/>
          <w:spacing w:val="30"/>
          <w:sz w:val="20"/>
          <w:szCs w:val="20"/>
        </w:rPr>
        <w:t xml:space="preserve">COMUNIDAD</w:t>
      </w:r>
    </w:p>
    <w:p>
      <w:pPr>
        <w:spacing w:after="80" w:before="100"/>
      </w:pPr>
      <w:r>
        <w:rPr>
          <w:rFonts w:ascii="Georgia" w:cs="Georgia" w:eastAsia="Georgia" w:hAnsi="Georgia"/>
          <w:i/>
          <w:iCs/>
          <w:color w:val="1E1B4B"/>
          <w:sz w:val="24"/>
          <w:szCs w:val="24"/>
        </w:rPr>
        <w:t xml:space="preserve">¿La comunidad caminó con nosotros hasta el final?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Las familias participaron del diagnóstico y la feria.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La asamblea comunitaria evaluó, no solo la escuela.</w:t>
      </w:r>
    </w:p>
    <w:p>
      <w:pPr>
        <w:spacing w:after="40" w:before="40"/>
        <w:ind w:left="200"/>
      </w:pPr>
      <w:r>
        <w:rPr>
          <w:rFonts w:ascii="Georgia" w:cs="Georgia" w:eastAsia="Georgia" w:hAnsi="Georgia"/>
          <w:color w:val="1E1B4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Los resultados vuelven útiles a la comunidad.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B45309"/>
          <w:spacing w:val="20"/>
          <w:sz w:val="16"/>
          <w:szCs w:val="16"/>
        </w:rPr>
        <w:t xml:space="preserve">NOTAS · EVIDENCIA OBSERVADA</w:t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B45309" w:sz="10" w:space="4"/>
        </w:pBdr>
        <w:spacing w:after="60" w:before="340"/>
      </w:pPr>
      <w:r>
        <w:rPr>
          <w:rFonts w:ascii="Calibri" w:cs="Calibri" w:eastAsia="Calibri" w:hAnsi="Calibri"/>
          <w:b/>
          <w:bCs/>
          <w:color w:val="B45309"/>
          <w:spacing w:val="30"/>
          <w:sz w:val="20"/>
          <w:szCs w:val="20"/>
        </w:rPr>
        <w:t xml:space="preserve">SEMILLA PARA LA PRÓXIMA VEZ · KUTI</w:t>
      </w:r>
    </w:p>
    <w:p>
      <w:pPr>
        <w:spacing w:after="80" w:before="100"/>
      </w:pPr>
      <w:r>
        <w:rPr>
          <w:rFonts w:ascii="Georgia" w:cs="Georgia" w:eastAsia="Georgia" w:hAnsi="Georgia"/>
          <w:i/>
          <w:iCs/>
          <w:color w:val="1E1B4B"/>
          <w:sz w:val="23"/>
          <w:szCs w:val="23"/>
        </w:rPr>
        <w:t xml:space="preserve">¿Qué haré distinto la próxima vez que camine esta ruta con mis estudiantes?</w:t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bottom w:val="single" w:color="D6D0C4" w:sz="6" w:space="4"/>
        </w:pBdr>
        <w:spacing w:after="60" w:before="60"/>
      </w:pPr>
      <w:r>
        <w:rPr>
          <w:rFonts w:ascii="Calibri" w:cs="Calibri" w:eastAsia="Calibri" w:hAnsi="Calibri"/>
        </w:rPr>
        <w:t xml:space="preserve"/>
      </w:r>
    </w:p>
    <w:p>
      <w:pPr>
        <w:pBdr>
          <w:top w:val="single" w:color="D6D0C4" w:sz="4" w:space="6"/>
        </w:pBdr>
        <w:spacing w:before="360"/>
      </w:pPr>
      <w:r>
        <w:rPr>
          <w:rFonts w:ascii="Calibri" w:cs="Calibri" w:eastAsia="Calibri" w:hAnsi="Calibri"/>
          <w:color w:val="4B5563"/>
          <w:sz w:val="15"/>
          <w:szCs w:val="15"/>
        </w:rPr>
        <w:t xml:space="preserve">Proyecto Poder STEAM Huancavelica 2026 · World Vision Perú · FuturaSoft — Soluciones Tecnológicas</w:t>
      </w:r>
    </w:p>
    <w:p>
      <w:r>
        <w:rPr>
          <w:rFonts w:ascii="Calibri" w:cs="Calibri" w:eastAsia="Calibri" w:hAnsi="Calibri"/>
          <w:color w:val="9CA3AF"/>
          <w:sz w:val="14"/>
          <w:szCs w:val="14"/>
        </w:rPr>
        <w:t xml:space="preserve">✦ José Fernando Davelouis Mendía · FuturaSoft ✦   ·   Textos en quechua pendientes de validación comunitaria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Bitacora de reflexion docente - Hamutay</dc:title>
  <dc:creator>Jose Fernando Davelouis Mendia - FuturaSoft</dc:creator>
  <dc:description>Plantilla reutilizable - Caja de Herramientas STEM Intercultural</dc:description>
  <cp:lastModifiedBy>Un-named</cp:lastModifiedBy>
  <cp:revision>1</cp:revision>
  <dcterms:created xsi:type="dcterms:W3CDTF">2026-07-11T00:18:09.246Z</dcterms:created>
  <dcterms:modified xsi:type="dcterms:W3CDTF">2026-07-11T00:18:09.259Z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